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申万宏源证券</w:t>
      </w:r>
      <w:r>
        <w:rPr>
          <w:rFonts w:hint="eastAsia" w:ascii="华文中宋" w:hAnsi="华文中宋" w:eastAsia="华文中宋" w:cs="华文中宋"/>
          <w:b/>
          <w:sz w:val="44"/>
          <w:szCs w:val="44"/>
          <w:lang w:val="en-US" w:eastAsia="zh-CN"/>
        </w:rPr>
        <w:t>天津</w:t>
      </w:r>
      <w:r>
        <w:rPr>
          <w:rFonts w:hint="eastAsia" w:ascii="华文中宋" w:hAnsi="华文中宋" w:eastAsia="华文中宋" w:cs="华文中宋"/>
          <w:b/>
          <w:sz w:val="44"/>
          <w:szCs w:val="44"/>
        </w:rPr>
        <w:t>分公司</w:t>
      </w:r>
    </w:p>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2</w:t>
      </w:r>
      <w:r>
        <w:rPr>
          <w:rFonts w:ascii="华文中宋" w:hAnsi="华文中宋" w:eastAsia="华文中宋" w:cs="华文中宋"/>
          <w:b/>
          <w:sz w:val="44"/>
          <w:szCs w:val="44"/>
        </w:rPr>
        <w:t>024</w:t>
      </w:r>
      <w:r>
        <w:rPr>
          <w:rFonts w:hint="eastAsia" w:ascii="华文中宋" w:hAnsi="华文中宋" w:eastAsia="华文中宋" w:cs="华文中宋"/>
          <w:b/>
          <w:sz w:val="44"/>
          <w:szCs w:val="44"/>
        </w:rPr>
        <w:t>届</w:t>
      </w:r>
      <w:r>
        <w:rPr>
          <w:rFonts w:hint="eastAsia" w:ascii="华文中宋" w:hAnsi="华文中宋" w:eastAsia="华文中宋" w:cs="华文中宋"/>
          <w:b/>
          <w:sz w:val="44"/>
          <w:szCs w:val="44"/>
          <w:lang w:eastAsia="zh-CN"/>
        </w:rPr>
        <w:t>春</w:t>
      </w:r>
      <w:r>
        <w:rPr>
          <w:rFonts w:hint="eastAsia" w:ascii="华文中宋" w:hAnsi="华文中宋" w:eastAsia="华文中宋" w:cs="华文中宋"/>
          <w:b/>
          <w:sz w:val="44"/>
          <w:szCs w:val="44"/>
        </w:rPr>
        <w:t>季校园招聘简章</w:t>
      </w:r>
    </w:p>
    <w:p>
      <w:pPr>
        <w:spacing w:before="240" w:line="500" w:lineRule="exact"/>
        <w:ind w:firstLine="643" w:firstLineChars="200"/>
        <w:rPr>
          <w:rFonts w:ascii="黑体" w:hAnsi="黑体" w:eastAsia="黑体" w:cs="黑体"/>
          <w:b/>
          <w:sz w:val="28"/>
          <w:szCs w:val="28"/>
        </w:rPr>
      </w:pPr>
      <w:r>
        <w:rPr>
          <w:rFonts w:hint="eastAsia" w:ascii="黑体" w:hAnsi="黑体" w:eastAsia="黑体" w:cs="黑体"/>
          <w:b/>
          <w:sz w:val="32"/>
          <w:szCs w:val="32"/>
        </w:rPr>
        <w:t>一、公司简介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申万宏源证券有限公司是由新中国第一家股份制证券公司——申银万国证券股份有限公司与国内资本市场第一家上市证券公司——宏源证券股份有限公司，于2015年1月16日合并组建而成。</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申万宏源证券有限公司注册资本535亿元，拥有员工超10000名，是国家主权财富基金——中国投资有限责任公司的直管企业。公司营业网点遍布全国，公司及所属子公司共设有54家证券分公司和7家期货分公司，297家证券营业部和21家期货营业部，</w:t>
      </w:r>
      <w:r>
        <w:rPr>
          <w:rFonts w:ascii="仿宋" w:hAnsi="仿宋" w:eastAsia="仿宋"/>
          <w:sz w:val="32"/>
          <w:szCs w:val="32"/>
        </w:rPr>
        <w:t>在香港设有子公司，并设有伦敦、东京、新加坡、首尔等海外分支机构。</w:t>
      </w:r>
      <w:r>
        <w:rPr>
          <w:rFonts w:hint="eastAsia" w:ascii="仿宋" w:hAnsi="仿宋" w:eastAsia="仿宋"/>
          <w:sz w:val="32"/>
          <w:szCs w:val="32"/>
        </w:rPr>
        <w:t>申万宏源证券有限公司发挥“投资控股集团+证券子公司”的双层架构优势，为企业集团、个人投资者、专业机构投资者、金融同业机构及政府客户提供以资本市场为核心的全产业链综合金融服务。</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公司优势：（一）领先的综合实力。公司历史悠久，在国内证券领域具有领先的品牌影响力；股东背景强大，赋予公司央企地位身份；经营业绩良好，综合竞争力位于证券行业前列；（二）全面的业务布局。公司牌照齐全，拥有以资本市场为依托的全产业链服务体系，在研究、固收产业链、普惠金融、金融衍生品、大投行、财富管理等方面已经树立自己专业优势。（三）完善的人才机制。公司以人为本，秉承德才兼备、任人唯贤、人尽其才的用人理念，营造公开、平等、竞争、择优、适用的用人环境，为同学们长期发展和自我价值实现提供持久坚实的职业保障。</w:t>
      </w:r>
    </w:p>
    <w:p>
      <w:pPr>
        <w:spacing w:line="500" w:lineRule="exact"/>
        <w:ind w:firstLine="643" w:firstLineChars="200"/>
        <w:rPr>
          <w:rFonts w:ascii="黑体" w:hAnsi="黑体" w:eastAsia="黑体" w:cs="黑体"/>
          <w:b/>
          <w:sz w:val="32"/>
          <w:szCs w:val="32"/>
        </w:rPr>
      </w:pPr>
      <w:r>
        <w:rPr>
          <w:rFonts w:hint="eastAsia" w:ascii="黑体" w:hAnsi="黑体" w:eastAsia="黑体" w:cs="黑体"/>
          <w:b/>
          <w:sz w:val="32"/>
          <w:szCs w:val="32"/>
        </w:rPr>
        <w:t>二、招聘岗位及要求</w:t>
      </w:r>
    </w:p>
    <w:p>
      <w:pPr>
        <w:spacing w:before="156" w:beforeLines="50" w:line="500" w:lineRule="exact"/>
        <w:ind w:firstLine="640" w:firstLineChars="200"/>
        <w:rPr>
          <w:rFonts w:ascii="仿宋" w:hAnsi="仿宋" w:eastAsia="仿宋"/>
          <w:sz w:val="32"/>
          <w:szCs w:val="32"/>
        </w:rPr>
      </w:pPr>
      <w:r>
        <w:rPr>
          <w:rFonts w:hint="eastAsia" w:ascii="仿宋" w:hAnsi="仿宋" w:eastAsia="仿宋"/>
          <w:sz w:val="32"/>
          <w:szCs w:val="32"/>
        </w:rPr>
        <w:t>（一）招聘岗位</w:t>
      </w:r>
    </w:p>
    <w:p>
      <w:pPr>
        <w:spacing w:before="156" w:beforeLines="50" w:line="50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财富顾问岗</w:t>
      </w:r>
    </w:p>
    <w:p>
      <w:pPr>
        <w:spacing w:before="156" w:beforeLines="50" w:line="500" w:lineRule="exact"/>
        <w:ind w:firstLine="640" w:firstLineChars="200"/>
        <w:rPr>
          <w:rFonts w:ascii="仿宋" w:hAnsi="仿宋" w:eastAsia="仿宋"/>
          <w:sz w:val="32"/>
          <w:szCs w:val="32"/>
        </w:rPr>
      </w:pPr>
      <w:r>
        <w:rPr>
          <w:rFonts w:ascii="仿宋" w:hAnsi="仿宋" w:eastAsia="仿宋"/>
          <w:sz w:val="32"/>
          <w:szCs w:val="32"/>
        </w:rPr>
        <w:t>（二）办公城市</w:t>
      </w:r>
    </w:p>
    <w:p>
      <w:pPr>
        <w:spacing w:before="156" w:beforeLines="50" w:line="50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天津市</w:t>
      </w:r>
    </w:p>
    <w:p>
      <w:pPr>
        <w:spacing w:before="156" w:beforeLines="50" w:line="500" w:lineRule="exact"/>
        <w:ind w:firstLine="640" w:firstLineChars="200"/>
        <w:rPr>
          <w:rFonts w:ascii="仿宋" w:hAnsi="仿宋" w:eastAsia="仿宋"/>
          <w:sz w:val="32"/>
          <w:szCs w:val="32"/>
        </w:rPr>
      </w:pPr>
      <w:r>
        <w:rPr>
          <w:rFonts w:hint="eastAsia" w:ascii="仿宋" w:hAnsi="仿宋" w:eastAsia="仿宋"/>
          <w:sz w:val="32"/>
          <w:szCs w:val="32"/>
        </w:rPr>
        <w:t>（三）招聘要求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1、学历：本科及以上学历；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2、专业：金融、财务、经济、法律、管理、理学、工学、文学等相关专业；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3、毕业时间：</w:t>
      </w:r>
      <w:bookmarkStart w:id="0" w:name="_GoBack"/>
      <w:bookmarkEnd w:id="0"/>
      <w:r>
        <w:rPr>
          <w:rFonts w:hint="eastAsia" w:ascii="仿宋" w:hAnsi="仿宋" w:eastAsia="仿宋"/>
          <w:sz w:val="32"/>
          <w:szCs w:val="32"/>
        </w:rPr>
        <w:t>境内院校学生毕业时间需在20</w:t>
      </w:r>
      <w:r>
        <w:rPr>
          <w:rFonts w:ascii="仿宋" w:hAnsi="仿宋" w:eastAsia="仿宋"/>
          <w:sz w:val="32"/>
          <w:szCs w:val="32"/>
        </w:rPr>
        <w:t>23</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月至20</w:t>
      </w:r>
      <w:r>
        <w:rPr>
          <w:rFonts w:ascii="仿宋" w:hAnsi="仿宋" w:eastAsia="仿宋"/>
          <w:sz w:val="32"/>
          <w:szCs w:val="32"/>
        </w:rPr>
        <w:t>24</w:t>
      </w:r>
      <w:r>
        <w:rPr>
          <w:rFonts w:hint="eastAsia" w:ascii="仿宋" w:hAnsi="仿宋" w:eastAsia="仿宋"/>
          <w:sz w:val="32"/>
          <w:szCs w:val="32"/>
        </w:rPr>
        <w:t>年7月之间，境外院校学生毕业时间需在20</w:t>
      </w:r>
      <w:r>
        <w:rPr>
          <w:rFonts w:ascii="仿宋" w:hAnsi="仿宋" w:eastAsia="仿宋"/>
          <w:sz w:val="32"/>
          <w:szCs w:val="32"/>
        </w:rPr>
        <w:t>22</w:t>
      </w:r>
      <w:r>
        <w:rPr>
          <w:rFonts w:hint="eastAsia" w:ascii="仿宋" w:hAnsi="仿宋" w:eastAsia="仿宋"/>
          <w:sz w:val="32"/>
          <w:szCs w:val="32"/>
        </w:rPr>
        <w:t>年5月至20</w:t>
      </w:r>
      <w:r>
        <w:rPr>
          <w:rFonts w:ascii="仿宋" w:hAnsi="仿宋" w:eastAsia="仿宋"/>
          <w:sz w:val="32"/>
          <w:szCs w:val="32"/>
        </w:rPr>
        <w:t>24</w:t>
      </w:r>
      <w:r>
        <w:rPr>
          <w:rFonts w:hint="eastAsia" w:ascii="仿宋" w:hAnsi="仿宋" w:eastAsia="仿宋"/>
          <w:sz w:val="32"/>
          <w:szCs w:val="32"/>
        </w:rPr>
        <w:t>年7月之间（以将取得的最高学历毕业证书落款时间为准）。</w:t>
      </w:r>
    </w:p>
    <w:p>
      <w:pPr>
        <w:ind w:firstLine="640" w:firstLineChars="200"/>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:①2023届毕业但尚未就业的学生仍可投递证</w:t>
      </w:r>
      <w:r>
        <w:rPr>
          <w:rFonts w:hint="eastAsia" w:ascii="仿宋" w:hAnsi="仿宋" w:eastAsia="仿宋"/>
          <w:sz w:val="32"/>
          <w:szCs w:val="32"/>
        </w:rPr>
        <w:t>券公司分支机构岗位</w:t>
      </w:r>
      <w:r>
        <w:rPr>
          <w:rFonts w:ascii="仿宋" w:hAnsi="仿宋" w:eastAsia="仿宋"/>
          <w:sz w:val="32"/>
          <w:szCs w:val="32"/>
        </w:rPr>
        <w:t>;②毕业时间以毕业证落款时间</w:t>
      </w:r>
      <w:r>
        <w:rPr>
          <w:rFonts w:hint="eastAsia" w:ascii="仿宋" w:hAnsi="仿宋" w:eastAsia="仿宋"/>
          <w:sz w:val="32"/>
          <w:szCs w:val="32"/>
        </w:rPr>
        <w:t>为准。</w:t>
      </w:r>
    </w:p>
    <w:p>
      <w:pPr>
        <w:ind w:firstLine="643" w:firstLineChars="200"/>
        <w:rPr>
          <w:rFonts w:ascii="黑体" w:hAnsi="黑体" w:eastAsia="黑体" w:cs="黑体"/>
          <w:b/>
          <w:sz w:val="32"/>
          <w:szCs w:val="32"/>
        </w:rPr>
      </w:pPr>
      <w:r>
        <w:rPr>
          <w:rFonts w:hint="eastAsia" w:ascii="黑体" w:hAnsi="黑体" w:eastAsia="黑体" w:cs="黑体"/>
          <w:b/>
          <w:sz w:val="32"/>
          <w:szCs w:val="32"/>
        </w:rPr>
        <w:t>三、招聘流程</w:t>
      </w:r>
    </w:p>
    <w:tbl>
      <w:tblPr>
        <w:tblStyle w:val="4"/>
        <w:tblW w:w="5089" w:type="pct"/>
        <w:tblInd w:w="0" w:type="dxa"/>
        <w:tblLayout w:type="autofit"/>
        <w:tblCellMar>
          <w:top w:w="0" w:type="dxa"/>
          <w:left w:w="108" w:type="dxa"/>
          <w:bottom w:w="0" w:type="dxa"/>
          <w:right w:w="108" w:type="dxa"/>
        </w:tblCellMar>
      </w:tblPr>
      <w:tblGrid>
        <w:gridCol w:w="4217"/>
        <w:gridCol w:w="4457"/>
      </w:tblGrid>
      <w:tr>
        <w:tblPrEx>
          <w:tblCellMar>
            <w:top w:w="0" w:type="dxa"/>
            <w:left w:w="108" w:type="dxa"/>
            <w:bottom w:w="0" w:type="dxa"/>
            <w:right w:w="108" w:type="dxa"/>
          </w:tblCellMar>
        </w:tblPrEx>
        <w:trPr>
          <w:trHeight w:val="312" w:hRule="atLeast"/>
        </w:trPr>
        <w:tc>
          <w:tcPr>
            <w:tcW w:w="2431" w:type="pct"/>
            <w:tcBorders>
              <w:top w:val="single" w:color="auto" w:sz="4" w:space="0"/>
              <w:left w:val="single" w:color="auto" w:sz="4" w:space="0"/>
              <w:bottom w:val="single" w:color="auto" w:sz="4" w:space="0"/>
              <w:right w:val="single" w:color="auto" w:sz="4" w:space="0"/>
            </w:tcBorders>
            <w:shd w:val="clear" w:color="000000" w:fill="D9E1F2"/>
            <w:vAlign w:val="center"/>
          </w:tcPr>
          <w:p>
            <w:pPr>
              <w:widowControl/>
              <w:spacing w:line="500" w:lineRule="exact"/>
              <w:ind w:firstLine="200"/>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招聘流程</w:t>
            </w:r>
          </w:p>
        </w:tc>
        <w:tc>
          <w:tcPr>
            <w:tcW w:w="2569" w:type="pct"/>
            <w:tcBorders>
              <w:top w:val="single" w:color="auto" w:sz="4" w:space="0"/>
              <w:left w:val="nil"/>
              <w:bottom w:val="single" w:color="auto" w:sz="4" w:space="0"/>
              <w:right w:val="single" w:color="auto" w:sz="4" w:space="0"/>
            </w:tcBorders>
            <w:shd w:val="clear" w:color="000000" w:fill="D9E1F2"/>
            <w:vAlign w:val="center"/>
          </w:tcPr>
          <w:p>
            <w:pPr>
              <w:widowControl/>
              <w:spacing w:line="500" w:lineRule="exact"/>
              <w:ind w:firstLine="200"/>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时间安排</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网申及测评</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w:t>
            </w:r>
            <w:r>
              <w:rPr>
                <w:rFonts w:ascii="仿宋" w:hAnsi="仿宋" w:eastAsia="仿宋" w:cs="仿宋"/>
                <w:color w:val="000000"/>
                <w:kern w:val="0"/>
                <w:sz w:val="32"/>
                <w:szCs w:val="32"/>
              </w:rPr>
              <w:t>8</w:t>
            </w:r>
            <w:r>
              <w:rPr>
                <w:rFonts w:hint="eastAsia" w:ascii="仿宋" w:hAnsi="仿宋" w:eastAsia="仿宋" w:cs="仿宋"/>
                <w:color w:val="000000"/>
                <w:kern w:val="0"/>
                <w:sz w:val="32"/>
                <w:szCs w:val="32"/>
              </w:rPr>
              <w:t>日截止</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笔试</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仿宋"/>
                <w:color w:val="000000"/>
                <w:kern w:val="0"/>
                <w:sz w:val="32"/>
                <w:szCs w:val="32"/>
                <w:lang w:val="en-US" w:eastAsia="zh-CN"/>
              </w:rPr>
              <w:t>3</w:t>
            </w:r>
            <w:r>
              <w:rPr>
                <w:rFonts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下</w:t>
            </w:r>
            <w:r>
              <w:rPr>
                <w:rFonts w:ascii="仿宋" w:hAnsi="仿宋" w:eastAsia="仿宋" w:cs="仿宋"/>
                <w:color w:val="000000"/>
                <w:kern w:val="0"/>
                <w:sz w:val="32"/>
                <w:szCs w:val="32"/>
              </w:rPr>
              <w:t>旬</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两轮面试</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仿宋"/>
                <w:color w:val="000000"/>
                <w:kern w:val="0"/>
                <w:sz w:val="32"/>
                <w:szCs w:val="32"/>
                <w:lang w:val="en-US" w:eastAsia="zh-CN"/>
              </w:rPr>
              <w:t>4</w:t>
            </w:r>
            <w:r>
              <w:rPr>
                <w:rFonts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上旬</w:t>
            </w:r>
          </w:p>
        </w:tc>
      </w:tr>
      <w:tr>
        <w:tblPrEx>
          <w:tblCellMar>
            <w:top w:w="0" w:type="dxa"/>
            <w:left w:w="108" w:type="dxa"/>
            <w:bottom w:w="0" w:type="dxa"/>
            <w:right w:w="108" w:type="dxa"/>
          </w:tblCellMar>
        </w:tblPrEx>
        <w:trPr>
          <w:trHeight w:val="312" w:hRule="atLeast"/>
        </w:trPr>
        <w:tc>
          <w:tcPr>
            <w:tcW w:w="2431" w:type="pc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ind w:firstLine="20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录用及签约</w:t>
            </w:r>
          </w:p>
        </w:tc>
        <w:tc>
          <w:tcPr>
            <w:tcW w:w="2569" w:type="pct"/>
            <w:tcBorders>
              <w:top w:val="nil"/>
              <w:left w:val="nil"/>
              <w:bottom w:val="single" w:color="auto" w:sz="4" w:space="0"/>
              <w:right w:val="single" w:color="auto" w:sz="4" w:space="0"/>
            </w:tcBorders>
            <w:shd w:val="clear" w:color="auto" w:fill="auto"/>
            <w:vAlign w:val="center"/>
          </w:tcPr>
          <w:p>
            <w:pPr>
              <w:widowControl/>
              <w:spacing w:line="500" w:lineRule="exact"/>
              <w:ind w:firstLine="200"/>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上旬</w:t>
            </w:r>
          </w:p>
        </w:tc>
      </w:tr>
    </w:tbl>
    <w:p>
      <w:pPr>
        <w:ind w:firstLine="643" w:firstLineChars="200"/>
        <w:rPr>
          <w:rFonts w:ascii="黑体" w:hAnsi="黑体" w:eastAsia="黑体" w:cs="黑体"/>
          <w:b/>
          <w:sz w:val="32"/>
          <w:szCs w:val="32"/>
        </w:rPr>
      </w:pPr>
      <w:r>
        <w:rPr>
          <w:rFonts w:hint="eastAsia" w:ascii="黑体" w:hAnsi="黑体" w:eastAsia="黑体" w:cs="黑体"/>
          <w:b/>
          <w:sz w:val="32"/>
          <w:szCs w:val="32"/>
        </w:rPr>
        <w:t>四、投递方式</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PC端：进入申万宏源证券官网http://www.swhysc.com， “诚聘英才-校园招聘”；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移动端：关注“申万宏源证券招聘”微信公众号，点击“加入我们-202</w:t>
      </w:r>
      <w:r>
        <w:rPr>
          <w:rFonts w:ascii="仿宋" w:hAnsi="仿宋" w:eastAsia="仿宋"/>
          <w:sz w:val="32"/>
          <w:szCs w:val="32"/>
        </w:rPr>
        <w:t>4</w:t>
      </w:r>
      <w:r>
        <w:rPr>
          <w:rFonts w:hint="eastAsia" w:ascii="仿宋" w:hAnsi="仿宋" w:eastAsia="仿宋"/>
          <w:sz w:val="32"/>
          <w:szCs w:val="32"/>
        </w:rPr>
        <w:t>届</w:t>
      </w:r>
      <w:r>
        <w:rPr>
          <w:rFonts w:hint="eastAsia" w:ascii="仿宋" w:hAnsi="仿宋" w:eastAsia="仿宋"/>
          <w:sz w:val="32"/>
          <w:szCs w:val="32"/>
          <w:lang w:eastAsia="zh-CN"/>
        </w:rPr>
        <w:t>春</w:t>
      </w:r>
      <w:r>
        <w:rPr>
          <w:rFonts w:hint="eastAsia" w:ascii="仿宋" w:hAnsi="仿宋" w:eastAsia="仿宋"/>
          <w:sz w:val="32"/>
          <w:szCs w:val="32"/>
        </w:rPr>
        <w:t>招”。</w:t>
      </w:r>
    </w:p>
    <w:p>
      <w:pPr>
        <w:spacing w:before="156" w:beforeLines="50" w:line="500" w:lineRule="exact"/>
        <w:ind w:firstLine="640" w:firstLineChars="200"/>
        <w:rPr>
          <w:rStyle w:val="7"/>
          <w:rFonts w:ascii="仿宋" w:hAnsi="仿宋" w:eastAsia="仿宋"/>
          <w:color w:val="auto"/>
          <w:sz w:val="32"/>
          <w:szCs w:val="32"/>
          <w:u w:val="none"/>
        </w:rPr>
      </w:pPr>
    </w:p>
    <w:p>
      <w:pPr>
        <w:spacing w:line="500" w:lineRule="exact"/>
        <w:rPr>
          <w:rFonts w:ascii="仿宋" w:hAnsi="仿宋" w:eastAsia="仿宋" w:cs="仿宋"/>
          <w:sz w:val="32"/>
          <w:szCs w:val="32"/>
        </w:rPr>
      </w:pPr>
      <w:r>
        <w:rPr>
          <w:rStyle w:val="7"/>
          <w:rFonts w:ascii="仿宋" w:hAnsi="仿宋" w:eastAsia="仿宋" w:cs="仿宋"/>
          <w:b/>
          <w:bCs/>
          <w:sz w:val="32"/>
          <w:szCs w:val="32"/>
        </w:rPr>
        <w:drawing>
          <wp:anchor distT="0" distB="0" distL="114300" distR="114300" simplePos="0" relativeHeight="251659264" behindDoc="1" locked="0" layoutInCell="1" allowOverlap="1">
            <wp:simplePos x="0" y="0"/>
            <wp:positionH relativeFrom="column">
              <wp:posOffset>1663700</wp:posOffset>
            </wp:positionH>
            <wp:positionV relativeFrom="paragraph">
              <wp:posOffset>247650</wp:posOffset>
            </wp:positionV>
            <wp:extent cx="1981200" cy="1981200"/>
            <wp:effectExtent l="0" t="0" r="0" b="0"/>
            <wp:wrapTopAndBottom/>
            <wp:docPr id="1" name="图片 1" descr="C:\Users\wang\AppData\Local\Temp\360zip$Temp\360$1\申万宏源证券招聘（0.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ang\AppData\Local\Temp\360zip$Temp\360$1\申万宏源证券招聘（0.5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81200" cy="1981200"/>
                    </a:xfrm>
                    <a:prstGeom prst="rect">
                      <a:avLst/>
                    </a:prstGeom>
                    <a:noFill/>
                    <a:ln>
                      <a:noFill/>
                    </a:ln>
                  </pic:spPr>
                </pic:pic>
              </a:graphicData>
            </a:graphic>
          </wp:anchor>
        </w:drawing>
      </w:r>
      <w:r>
        <w:rPr>
          <w:rFonts w:hint="eastAsia" w:ascii="仿宋" w:hAnsi="仿宋" w:eastAsia="仿宋" w:cs="仿宋"/>
          <w:sz w:val="32"/>
          <w:szCs w:val="32"/>
        </w:rPr>
        <w:t>关注“申万宏源证券招聘”微信公众号，获取更多招聘资讯</w:t>
      </w:r>
    </w:p>
    <w:p>
      <w:pPr>
        <w:spacing w:line="500" w:lineRule="exact"/>
        <w:jc w:val="center"/>
        <w:rPr>
          <w:rFonts w:ascii="仿宋" w:hAnsi="仿宋" w:eastAsia="仿宋" w:cs="仿宋"/>
          <w:sz w:val="32"/>
          <w:szCs w:val="32"/>
        </w:rPr>
      </w:pPr>
    </w:p>
    <w:p>
      <w:pPr>
        <w:ind w:firstLine="643" w:firstLineChars="200"/>
        <w:jc w:val="center"/>
        <w:rPr>
          <w:rFonts w:ascii="仿宋" w:hAnsi="仿宋" w:eastAsia="仿宋" w:cs="仿宋"/>
          <w:b/>
          <w:sz w:val="32"/>
          <w:szCs w:val="32"/>
        </w:rPr>
      </w:pPr>
      <w:r>
        <w:rPr>
          <w:rFonts w:hint="eastAsia" w:ascii="仿宋" w:hAnsi="仿宋" w:eastAsia="仿宋" w:cs="仿宋"/>
          <w:b/>
          <w:sz w:val="32"/>
          <w:szCs w:val="32"/>
          <w:lang w:val="en-US" w:eastAsia="zh-CN"/>
        </w:rPr>
        <w:t>欢迎心怀理想、勇于奋斗的</w:t>
      </w:r>
      <w:r>
        <w:rPr>
          <w:rFonts w:hint="eastAsia" w:ascii="仿宋" w:hAnsi="仿宋" w:eastAsia="仿宋" w:cs="仿宋"/>
          <w:b/>
          <w:sz w:val="32"/>
          <w:szCs w:val="32"/>
        </w:rPr>
        <w:t>你</w:t>
      </w:r>
    </w:p>
    <w:p>
      <w:pPr>
        <w:ind w:firstLine="643" w:firstLineChars="200"/>
        <w:jc w:val="center"/>
        <w:rPr>
          <w:rFonts w:hint="eastAsia" w:ascii="仿宋" w:hAnsi="仿宋" w:eastAsia="仿宋" w:cs="仿宋"/>
          <w:b/>
          <w:sz w:val="32"/>
          <w:szCs w:val="32"/>
          <w:lang w:eastAsia="zh-CN"/>
        </w:rPr>
      </w:pPr>
      <w:r>
        <w:rPr>
          <w:rFonts w:hint="eastAsia" w:ascii="仿宋" w:hAnsi="仿宋" w:eastAsia="仿宋" w:cs="仿宋"/>
          <w:b/>
          <w:sz w:val="32"/>
          <w:szCs w:val="32"/>
        </w:rPr>
        <w:t>加入</w:t>
      </w:r>
      <w:r>
        <w:rPr>
          <w:rFonts w:hint="eastAsia" w:ascii="仿宋" w:hAnsi="仿宋" w:eastAsia="仿宋" w:cs="仿宋"/>
          <w:b/>
          <w:sz w:val="32"/>
          <w:szCs w:val="32"/>
          <w:lang w:val="en-US" w:eastAsia="zh-CN"/>
        </w:rPr>
        <w:t>申万宏源</w:t>
      </w:r>
    </w:p>
    <w:p>
      <w:pPr>
        <w:ind w:firstLine="643" w:firstLineChars="200"/>
        <w:jc w:val="center"/>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开启职业生涯崭新篇章！</w:t>
      </w:r>
    </w:p>
    <w:p>
      <w:pPr>
        <w:spacing w:before="156" w:beforeLines="50" w:line="500" w:lineRule="exact"/>
        <w:ind w:firstLine="640" w:firstLineChars="200"/>
        <w:rPr>
          <w:rFonts w:ascii="仿宋" w:hAnsi="仿宋" w:eastAsia="仿宋"/>
          <w:sz w:val="32"/>
          <w:szCs w:val="32"/>
        </w:rPr>
      </w:pPr>
    </w:p>
    <w:sectPr>
      <w:type w:val="continuous"/>
      <w:pgSz w:w="11906" w:h="16838"/>
      <w:pgMar w:top="993"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zODRmNzg1N2Q1YmYwYzJmYjU5NDgxODZjOTNiNmQifQ=="/>
  </w:docVars>
  <w:rsids>
    <w:rsidRoot w:val="00E262FD"/>
    <w:rsid w:val="0001653B"/>
    <w:rsid w:val="000931B8"/>
    <w:rsid w:val="000B74EE"/>
    <w:rsid w:val="000C1A56"/>
    <w:rsid w:val="000E5914"/>
    <w:rsid w:val="001168D9"/>
    <w:rsid w:val="00164084"/>
    <w:rsid w:val="00187FAA"/>
    <w:rsid w:val="001922CA"/>
    <w:rsid w:val="001A1595"/>
    <w:rsid w:val="001A63AF"/>
    <w:rsid w:val="001E0224"/>
    <w:rsid w:val="0022009B"/>
    <w:rsid w:val="002820E5"/>
    <w:rsid w:val="002B3375"/>
    <w:rsid w:val="002F158D"/>
    <w:rsid w:val="0032648D"/>
    <w:rsid w:val="003353DF"/>
    <w:rsid w:val="00395FF2"/>
    <w:rsid w:val="003A6FCF"/>
    <w:rsid w:val="004273A8"/>
    <w:rsid w:val="00457FCE"/>
    <w:rsid w:val="00497782"/>
    <w:rsid w:val="004C1697"/>
    <w:rsid w:val="004D676C"/>
    <w:rsid w:val="0051739B"/>
    <w:rsid w:val="00524DF4"/>
    <w:rsid w:val="00542421"/>
    <w:rsid w:val="0055187F"/>
    <w:rsid w:val="00592D2D"/>
    <w:rsid w:val="005A74CE"/>
    <w:rsid w:val="00647B6A"/>
    <w:rsid w:val="006C3C77"/>
    <w:rsid w:val="006F4F5A"/>
    <w:rsid w:val="007A35D2"/>
    <w:rsid w:val="007B5D54"/>
    <w:rsid w:val="007C0BFF"/>
    <w:rsid w:val="007E40F1"/>
    <w:rsid w:val="007F12EB"/>
    <w:rsid w:val="007F3D9E"/>
    <w:rsid w:val="00814D31"/>
    <w:rsid w:val="00833310"/>
    <w:rsid w:val="0086560D"/>
    <w:rsid w:val="00871914"/>
    <w:rsid w:val="00886143"/>
    <w:rsid w:val="008B5047"/>
    <w:rsid w:val="008B69D9"/>
    <w:rsid w:val="008F08DF"/>
    <w:rsid w:val="008F14A1"/>
    <w:rsid w:val="008F43A0"/>
    <w:rsid w:val="00914265"/>
    <w:rsid w:val="00914EF6"/>
    <w:rsid w:val="009176C9"/>
    <w:rsid w:val="009438EA"/>
    <w:rsid w:val="009514E8"/>
    <w:rsid w:val="00972C23"/>
    <w:rsid w:val="009A0F68"/>
    <w:rsid w:val="00A370F2"/>
    <w:rsid w:val="00A454C2"/>
    <w:rsid w:val="00A45FBE"/>
    <w:rsid w:val="00A766A8"/>
    <w:rsid w:val="00AE36F8"/>
    <w:rsid w:val="00AF721B"/>
    <w:rsid w:val="00B12F44"/>
    <w:rsid w:val="00B216C0"/>
    <w:rsid w:val="00B375B5"/>
    <w:rsid w:val="00B53B3E"/>
    <w:rsid w:val="00B7382C"/>
    <w:rsid w:val="00BE19A4"/>
    <w:rsid w:val="00BE207A"/>
    <w:rsid w:val="00C33B38"/>
    <w:rsid w:val="00C578F8"/>
    <w:rsid w:val="00C73B4F"/>
    <w:rsid w:val="00C80D52"/>
    <w:rsid w:val="00CB33D6"/>
    <w:rsid w:val="00CC7E0C"/>
    <w:rsid w:val="00D43315"/>
    <w:rsid w:val="00D458C4"/>
    <w:rsid w:val="00D902EF"/>
    <w:rsid w:val="00E0143E"/>
    <w:rsid w:val="00E262FD"/>
    <w:rsid w:val="00E5265F"/>
    <w:rsid w:val="00ED611B"/>
    <w:rsid w:val="00EE067A"/>
    <w:rsid w:val="00EE7220"/>
    <w:rsid w:val="00F31AFC"/>
    <w:rsid w:val="00F51CD1"/>
    <w:rsid w:val="00F85FD7"/>
    <w:rsid w:val="00F90026"/>
    <w:rsid w:val="00FA39FA"/>
    <w:rsid w:val="00FB59D8"/>
    <w:rsid w:val="00FD731D"/>
    <w:rsid w:val="09AC32BF"/>
    <w:rsid w:val="10F56E04"/>
    <w:rsid w:val="1489772C"/>
    <w:rsid w:val="3316762B"/>
    <w:rsid w:val="423F282A"/>
    <w:rsid w:val="4AB04D82"/>
    <w:rsid w:val="5A7A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Words>
  <Characters>954</Characters>
  <Lines>7</Lines>
  <Paragraphs>2</Paragraphs>
  <TotalTime>2</TotalTime>
  <ScaleCrop>false</ScaleCrop>
  <LinksUpToDate>false</LinksUpToDate>
  <CharactersWithSpaces>1119</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2023-08-24T05:21:00Z</dcterms:created>
  <dc:creator>rhee</dc:creator>
  <cp:lastModifiedBy>Admin</cp:lastModifiedBy>
  <cp:lastPrinted>2022-09-02T07:43:00Z</cp:lastPrinted>
  <dcterms:modified xsi:type="dcterms:W3CDTF">2024-02-26T06:14:26Z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65FC2615C1654890BA2AA183009FE5F4</vt:lpwstr>
  </property>
</Properties>
</file>